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ACF" w:rsidRDefault="004930F1">
      <w:pPr>
        <w:spacing w:after="83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E0ACF" w:rsidRDefault="004930F1">
      <w:pPr>
        <w:ind w:right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223728</wp:posOffset>
            </wp:positionH>
            <wp:positionV relativeFrom="paragraph">
              <wp:posOffset>4</wp:posOffset>
            </wp:positionV>
            <wp:extent cx="418557" cy="627836"/>
            <wp:effectExtent l="0" t="0" r="0" b="0"/>
            <wp:wrapSquare wrapText="bothSides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557" cy="627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 </w:t>
      </w:r>
      <w:r>
        <w:t xml:space="preserve">PODER JUDICIÁRIO DO ESTADO DA BAHIA </w:t>
      </w:r>
    </w:p>
    <w:p w:rsidR="00AE0ACF" w:rsidRDefault="004930F1">
      <w:pPr>
        <w:spacing w:after="647"/>
        <w:ind w:right="4"/>
      </w:pPr>
      <w:r>
        <w:t>PLANTÃO JUDICIÁRIO</w:t>
      </w:r>
    </w:p>
    <w:p w:rsidR="00AE0ACF" w:rsidRDefault="004930F1">
      <w:pPr>
        <w:spacing w:after="52" w:line="259" w:lineRule="auto"/>
        <w:ind w:left="352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pStyle w:val="Ttulo1"/>
      </w:pPr>
      <w:r>
        <w:t>DECISÃO</w:t>
      </w:r>
    </w:p>
    <w:p w:rsidR="00AE0ACF" w:rsidRDefault="004930F1">
      <w:pPr>
        <w:ind w:right="4"/>
      </w:pPr>
      <w:r>
        <w:t>Processo nº: 8008277-30.2023.8.05.0103</w:t>
      </w:r>
    </w:p>
    <w:p w:rsidR="00AE0ACF" w:rsidRDefault="004930F1">
      <w:pPr>
        <w:ind w:right="4"/>
      </w:pPr>
      <w:r>
        <w:t>Classe -</w:t>
      </w:r>
    </w:p>
    <w:p w:rsidR="00AE0ACF" w:rsidRDefault="004930F1">
      <w:pPr>
        <w:ind w:left="352" w:right="4120" w:firstLine="1100"/>
      </w:pPr>
      <w:r>
        <w:t>AUTO DE PRISÃO EM FLAGRANTE (280) Assunto:</w:t>
      </w:r>
    </w:p>
    <w:p w:rsidR="00AE0ACF" w:rsidRDefault="004930F1">
      <w:pPr>
        <w:spacing w:after="68"/>
        <w:ind w:right="381"/>
      </w:pPr>
      <w:r>
        <w:t>Requerente</w:t>
      </w:r>
      <w:r>
        <w:tab/>
        <w:t>AUTORIDADE: 7ª COORPIN ILHÉUS, MINISTÉRIO PÚBLICO DO ESTADO DA BAHIA Requerido(a) FLAGRANTEADO: DINAILSON NASCIMENTO DE OLIVEIRA</w:t>
      </w:r>
    </w:p>
    <w:p w:rsidR="00AE0ACF" w:rsidRDefault="004930F1">
      <w:pPr>
        <w:spacing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313" w:firstLine="0"/>
        <w:jc w:val="left"/>
      </w:pPr>
      <w:r>
        <w:t xml:space="preserve"> </w:t>
      </w:r>
    </w:p>
    <w:p w:rsidR="00AE0ACF" w:rsidRDefault="004930F1">
      <w:pPr>
        <w:spacing w:line="308" w:lineRule="auto"/>
        <w:ind w:left="313" w:right="4592" w:firstLine="0"/>
        <w:jc w:val="left"/>
      </w:pPr>
      <w:r>
        <w:rPr>
          <w:sz w:val="21"/>
        </w:rPr>
        <w:t xml:space="preserve"> </w:t>
      </w:r>
      <w:r>
        <w:t xml:space="preserve"> </w:t>
      </w:r>
    </w:p>
    <w:p w:rsidR="00AE0ACF" w:rsidRDefault="004930F1">
      <w:pPr>
        <w:spacing w:line="308" w:lineRule="auto"/>
        <w:ind w:left="313" w:right="4586" w:firstLine="0"/>
        <w:jc w:val="left"/>
      </w:pPr>
      <w:r>
        <w:rPr>
          <w:sz w:val="21"/>
        </w:rPr>
        <w:t xml:space="preserve"> </w:t>
      </w:r>
      <w:r>
        <w:t xml:space="preserve">   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09" w:firstLine="0"/>
        <w:jc w:val="left"/>
      </w:pPr>
      <w:r>
        <w:rPr>
          <w:i/>
        </w:rPr>
        <w:t>Vistos e etc...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09" w:firstLine="0"/>
        <w:jc w:val="left"/>
      </w:pPr>
      <w:r>
        <w:t xml:space="preserve"> 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385" w:lineRule="auto"/>
        <w:ind w:left="308" w:right="14"/>
        <w:jc w:val="right"/>
      </w:pPr>
      <w:r>
        <w:t xml:space="preserve">A Autoridade Policial comunicou a prisão em flagrante, em 15/09/2023, de </w:t>
      </w:r>
      <w:r>
        <w:rPr>
          <w:b/>
        </w:rPr>
        <w:t>DINAILSON NASCIMENTO DE OLIVEIRA,</w:t>
      </w:r>
      <w:r>
        <w:t xml:space="preserve"> qualificado no APF, em razão da suposta prática pelo crime previsto nos artigos 129, §9º do Código Penal</w:t>
      </w:r>
    </w:p>
    <w:p w:rsidR="00AE0ACF" w:rsidRDefault="004930F1">
      <w:pPr>
        <w:spacing w:line="385" w:lineRule="auto"/>
        <w:ind w:left="323" w:right="4"/>
      </w:pPr>
      <w:r>
        <w:t>(lesão corporal) c/c a Lei nº 11.340/2006 (Lei Maria da Penha), tendo como vítima sua companheira Raquel das Virgens Dutra, tendo o fato ocorrido no município de Ilhéus/BA.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ind w:left="1310" w:right="4"/>
      </w:pPr>
      <w:r>
        <w:t>A Defensoria Pública requerer a concessão da LIBERDADE PROVISÓRIA 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after="99"/>
        <w:ind w:left="1310" w:right="4"/>
      </w:pPr>
      <w:r>
        <w:t>Instado a se manifestar, o Ministério Público , o mesmo apresenta parecer no sentido de que seja</w:t>
      </w:r>
    </w:p>
    <w:p w:rsidR="00AE0ACF" w:rsidRDefault="004930F1">
      <w:pPr>
        <w:spacing w:line="385" w:lineRule="auto"/>
        <w:ind w:left="323" w:right="4"/>
      </w:pPr>
      <w:r>
        <w:t>concedida liberdade provisória, ressaltando que é favorável a concessão das medidas protetivas em favor da vítima previstas na Lei nº 11.340/06, por ser medida proporcional e razoável em face do fato delituoso e suas circunstâncias, conforme fatos e fundamentos que expõe em seu parecer opinativo.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09" w:firstLine="0"/>
        <w:jc w:val="left"/>
      </w:pPr>
      <w:r>
        <w:t xml:space="preserve"> 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after="99"/>
        <w:ind w:left="1310" w:right="4"/>
      </w:pPr>
      <w:r>
        <w:t>Analisando-se o APF respectivo e demais documentos, não se vislumbra ilegalidade na prisão. Foram</w:t>
      </w:r>
    </w:p>
    <w:p w:rsidR="00AE0ACF" w:rsidRDefault="004930F1">
      <w:pPr>
        <w:spacing w:line="385" w:lineRule="auto"/>
        <w:ind w:left="323" w:right="4"/>
      </w:pPr>
      <w:r>
        <w:t>observadas as normas descritas no Código de Processo Penal, alterado pela na Lei 12.403/2011, e os ditames constitucionais previstos no art. 5º, LXII. O preso, o condutor e as testemunhas foram ouvidos nos presentes autos, estando os termos de oitiva devidamente assinados.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09" w:firstLine="0"/>
        <w:jc w:val="left"/>
      </w:pPr>
      <w:r>
        <w:t xml:space="preserve"> 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after="99"/>
        <w:ind w:left="1310" w:right="4"/>
      </w:pPr>
      <w:r>
        <w:t>Também se verifica acostado ao procedimento nota de culpa, devidamente assinada pelo flagranteado e</w:t>
      </w:r>
    </w:p>
    <w:p w:rsidR="00AE0ACF" w:rsidRDefault="004930F1">
      <w:pPr>
        <w:ind w:left="323" w:right="4"/>
      </w:pPr>
      <w:r>
        <w:t>recibo de entrega de preso. Constam nos autos, ainda, as advertências legais quanto aos direitos do mesmo.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09" w:firstLine="0"/>
        <w:jc w:val="left"/>
      </w:pPr>
      <w:r>
        <w:t xml:space="preserve"> </w:t>
      </w:r>
    </w:p>
    <w:p w:rsidR="00AE0ACF" w:rsidRDefault="004930F1">
      <w:pPr>
        <w:spacing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ind w:left="1310" w:right="4"/>
      </w:pPr>
      <w:r>
        <w:t>Logo não há que se falarem relaxamento da prisão em flagrante.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09" w:firstLine="0"/>
        <w:jc w:val="left"/>
      </w:pPr>
      <w:r>
        <w:t xml:space="preserve"> 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after="104" w:line="259" w:lineRule="auto"/>
        <w:ind w:left="1310"/>
      </w:pPr>
      <w:r>
        <w:rPr>
          <w:b/>
        </w:rPr>
        <w:t>Passo à análise acerca da necessidade da conversão do flagrante em prisão preventiva ou da</w:t>
      </w:r>
    </w:p>
    <w:p w:rsidR="00AE0ACF" w:rsidRDefault="004930F1">
      <w:pPr>
        <w:spacing w:line="259" w:lineRule="auto"/>
        <w:ind w:left="323"/>
      </w:pPr>
      <w:r>
        <w:rPr>
          <w:b/>
        </w:rPr>
        <w:t>concessão de liberdade provisória.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09" w:firstLine="0"/>
        <w:jc w:val="left"/>
      </w:pPr>
      <w:r>
        <w:t xml:space="preserve"> 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after="99"/>
        <w:ind w:left="1310" w:right="4"/>
      </w:pPr>
      <w:r>
        <w:t>A prisão preventiva, de natureza cautelar, é medida excepcional, e pode ser decretada pelo Magistrado em</w:t>
      </w:r>
    </w:p>
    <w:p w:rsidR="00AE0ACF" w:rsidRDefault="004930F1">
      <w:pPr>
        <w:spacing w:line="385" w:lineRule="auto"/>
        <w:ind w:left="323" w:right="4"/>
      </w:pPr>
      <w:r>
        <w:t>qualquer fase do inquérito policial ou da instrução criminal, desde que se entenda pela necessidade da custódia, o que se afere através da presença dos pressupostos consignados nos arts. 312 e 313 do Código de Processo Penal. Verifico, porém, que no caso em comento, entendo que efetivamente não há razão para a manutenção do cárcere em desfavor do Acusado, uma vez que inexistem os requisitos previstos no artigo 312 do Código de Processo Penal, não ensejando, portanto, a sua custódia prévia.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09" w:firstLine="0"/>
        <w:jc w:val="left"/>
      </w:pPr>
      <w:r>
        <w:t xml:space="preserve"> 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after="99"/>
        <w:ind w:left="1310" w:right="4"/>
      </w:pPr>
      <w:r>
        <w:t>Não subsistem, pois, nos autos, evidências de que o Acusado, se solto, vulnere os bens jurídicos</w:t>
      </w:r>
    </w:p>
    <w:p w:rsidR="00AE0ACF" w:rsidRDefault="004930F1">
      <w:pPr>
        <w:spacing w:line="385" w:lineRule="auto"/>
        <w:ind w:left="323" w:right="98"/>
      </w:pPr>
      <w:r>
        <w:t>tutelados pelo CPP, ou seja, que não preserve a ordem pública ou que atente contra a conveniência da instrução criminal e posterior aplicação da Lei penal, em caso de vir a ser o mesmo condenado, considerando o conjunto de provas que venha a ser reunido.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09" w:firstLine="0"/>
        <w:jc w:val="left"/>
      </w:pPr>
      <w:r>
        <w:t xml:space="preserve"> 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after="99"/>
        <w:ind w:left="1310" w:right="4"/>
      </w:pPr>
      <w:r>
        <w:t>Ressalte-se ainda, que conforme prescreve o art. 5º, inciso LVII, da Constituição da República, "ninguém</w:t>
      </w:r>
    </w:p>
    <w:p w:rsidR="00AE0ACF" w:rsidRDefault="004930F1">
      <w:pPr>
        <w:spacing w:line="385" w:lineRule="auto"/>
        <w:ind w:left="323" w:right="4"/>
      </w:pPr>
      <w:r>
        <w:t>será considerado culpado até o trânsito em julgado de sentença penal condenatória", dessa forma, não se pode fazer um juízo negativo do Investigado, sem ao menos existir sentença julgada que o incrimine.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09" w:firstLine="0"/>
        <w:jc w:val="left"/>
      </w:pPr>
      <w:r>
        <w:t xml:space="preserve"> 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after="99"/>
        <w:ind w:left="1310" w:right="4"/>
      </w:pPr>
      <w:r>
        <w:t>Assim, entendo que o Acusado tem a possibilidade de ser beneficiado com o instituto da liberdade</w:t>
      </w:r>
    </w:p>
    <w:p w:rsidR="00AE0ACF" w:rsidRDefault="004930F1">
      <w:pPr>
        <w:spacing w:line="385" w:lineRule="auto"/>
        <w:ind w:left="323" w:right="4"/>
      </w:pPr>
      <w:r>
        <w:t>provisória, conforme nova sistemática processual penal. Por outro lado, há de se ter cautela na concessão de liberdade ao mesmo, a qual deve, pois, ser condicionada, nos termos do art. 319 do diploma processual penal.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09" w:firstLine="0"/>
        <w:jc w:val="left"/>
      </w:pPr>
      <w:r>
        <w:t xml:space="preserve"> 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after="99"/>
        <w:ind w:left="1310" w:right="4"/>
      </w:pPr>
      <w:r>
        <w:t>Nesse contexto, o artigo 319 do CPP prevê, mais precisamente nos incisos I e IV, medidas absolutamente</w:t>
      </w:r>
    </w:p>
    <w:p w:rsidR="00AE0ACF" w:rsidRDefault="004930F1">
      <w:pPr>
        <w:ind w:left="323" w:right="4"/>
      </w:pPr>
      <w:r>
        <w:t>aplicáveis, cumulativamente, ao caso sob análise, as quais reputo serem suficientes como reprimenda ao Acusado.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936" w:firstLine="0"/>
        <w:jc w:val="left"/>
      </w:pPr>
      <w:r>
        <w:t xml:space="preserve"> 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385" w:lineRule="auto"/>
        <w:ind w:left="323"/>
      </w:pPr>
      <w:r>
        <w:t xml:space="preserve">Em face do exposto, </w:t>
      </w:r>
      <w:r>
        <w:rPr>
          <w:b/>
        </w:rPr>
        <w:t>concedo a LIBERDADE PROVISÓRIA a DINAILSON NASCIMENTO DE OLIVEIRA</w:t>
      </w:r>
      <w:r>
        <w:t>,</w:t>
      </w:r>
      <w:r>
        <w:rPr>
          <w:b/>
        </w:rPr>
        <w:t xml:space="preserve"> na forma do art. 310, inciso III, do CPP, independentemente de Fiança, nos termos do art. 350 do CPP,  impondo-lhe ainda, com base no artigo 319, do CPP,  </w:t>
      </w:r>
      <w:r>
        <w:rPr>
          <w:b/>
          <w:i/>
        </w:rPr>
        <w:t>assim como artigo 22, II da Lei 11.340/06, condicionada às medidas cautelares adiante expostas:</w:t>
      </w:r>
    </w:p>
    <w:p w:rsidR="00AE0ACF" w:rsidRDefault="004930F1">
      <w:pPr>
        <w:spacing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numPr>
          <w:ilvl w:val="0"/>
          <w:numId w:val="1"/>
        </w:numPr>
        <w:spacing w:line="259" w:lineRule="auto"/>
        <w:ind w:right="9" w:hanging="343"/>
      </w:pPr>
      <w:r>
        <w:t xml:space="preserve">o afastamento de </w:t>
      </w:r>
      <w:r>
        <w:rPr>
          <w:b/>
        </w:rPr>
        <w:t>DINAILSON NASCIMENTO DE OLIVEIRA</w:t>
      </w:r>
      <w:r>
        <w:t xml:space="preserve"> da residência da vítima Raquel das Virgens Dutra</w:t>
      </w:r>
      <w:r>
        <w:rPr>
          <w:b/>
          <w:i/>
        </w:rPr>
        <w:t>.</w:t>
      </w:r>
    </w:p>
    <w:p w:rsidR="00AE0ACF" w:rsidRDefault="004930F1">
      <w:pPr>
        <w:spacing w:after="54" w:line="259" w:lineRule="auto"/>
        <w:ind w:left="946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numPr>
          <w:ilvl w:val="0"/>
          <w:numId w:val="1"/>
        </w:numPr>
        <w:ind w:right="9" w:hanging="343"/>
      </w:pPr>
      <w:r>
        <w:t>– a proibição de sua aproximação no limite mínimo de 500 metros da ofendida Raquel das Virgens Dutra;</w:t>
      </w:r>
    </w:p>
    <w:p w:rsidR="00AE0ACF" w:rsidRDefault="004930F1">
      <w:pPr>
        <w:spacing w:after="54" w:line="259" w:lineRule="auto"/>
        <w:ind w:left="946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numPr>
          <w:ilvl w:val="1"/>
          <w:numId w:val="1"/>
        </w:numPr>
        <w:spacing w:line="385" w:lineRule="auto"/>
        <w:ind w:left="1089" w:right="4" w:hanging="143"/>
      </w:pPr>
      <w:r>
        <w:t>– a proibição de ter contato com a ofendida Raquel das Virgens Dutra e seus familiares através de telefone oumesmo das redes sociais;</w:t>
      </w:r>
    </w:p>
    <w:p w:rsidR="00AE0ACF" w:rsidRDefault="004930F1">
      <w:pPr>
        <w:spacing w:after="54" w:line="259" w:lineRule="auto"/>
        <w:ind w:left="946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numPr>
          <w:ilvl w:val="1"/>
          <w:numId w:val="1"/>
        </w:numPr>
        <w:spacing w:line="385" w:lineRule="auto"/>
        <w:ind w:left="1089" w:right="4" w:hanging="143"/>
      </w:pPr>
      <w:r>
        <w:t>– seu compromisso de comparecer a todos os atos processuais e manter seu endereço atualizado, sem se ausentar do distrito da culpa;</w:t>
      </w:r>
    </w:p>
    <w:p w:rsidR="00AE0ACF" w:rsidRDefault="004930F1">
      <w:pPr>
        <w:spacing w:after="54" w:line="259" w:lineRule="auto"/>
        <w:ind w:left="946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numPr>
          <w:ilvl w:val="1"/>
          <w:numId w:val="1"/>
        </w:numPr>
        <w:ind w:left="1089" w:right="4" w:hanging="143"/>
      </w:pPr>
      <w:r>
        <w:rPr>
          <w:b/>
          <w:i/>
        </w:rPr>
        <w:t xml:space="preserve">- </w:t>
      </w:r>
      <w:r>
        <w:t>comparecimento trimestral em Juízo, todo dia 15 do mês correspondente ou dia útil subsequente;</w:t>
      </w:r>
    </w:p>
    <w:p w:rsidR="00AE0ACF" w:rsidRDefault="004930F1">
      <w:pPr>
        <w:spacing w:after="54" w:line="259" w:lineRule="auto"/>
        <w:ind w:left="946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numPr>
          <w:ilvl w:val="1"/>
          <w:numId w:val="1"/>
        </w:numPr>
        <w:ind w:left="1089" w:right="4" w:hanging="143"/>
      </w:pPr>
      <w:r>
        <w:t>–  a proibição de se ausentar da Comarca sem prévia autorização Judicial;</w:t>
      </w:r>
    </w:p>
    <w:p w:rsidR="00AE0ACF" w:rsidRDefault="004930F1">
      <w:pPr>
        <w:spacing w:after="54" w:line="259" w:lineRule="auto"/>
        <w:ind w:left="946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numPr>
          <w:ilvl w:val="1"/>
          <w:numId w:val="1"/>
        </w:numPr>
        <w:ind w:left="1089" w:right="4" w:hanging="143"/>
      </w:pPr>
      <w:r>
        <w:t>– Recolhimento à sua residência durante o horário noturno, ou seja das 23h às 5h;</w:t>
      </w:r>
    </w:p>
    <w:p w:rsidR="00AE0ACF" w:rsidRDefault="004930F1">
      <w:pPr>
        <w:spacing w:after="54" w:line="259" w:lineRule="auto"/>
        <w:ind w:left="946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after="104" w:line="259" w:lineRule="auto"/>
        <w:ind w:left="946"/>
      </w:pPr>
      <w:r>
        <w:rPr>
          <w:b/>
        </w:rPr>
        <w:t>A presente decisão tem força de Mandado/ofício e serve como alvará de soltura, bem como termo de</w:t>
      </w:r>
    </w:p>
    <w:p w:rsidR="00AE0ACF" w:rsidRDefault="004930F1">
      <w:pPr>
        <w:spacing w:line="259" w:lineRule="auto"/>
        <w:ind w:left="323"/>
      </w:pPr>
      <w:r>
        <w:rPr>
          <w:b/>
        </w:rPr>
        <w:t>concordância do Flagranteado DINAILSON NASCIMENTO DE OLIVEIRA para com as condições impostas.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after="99"/>
        <w:ind w:left="1310" w:right="4"/>
      </w:pPr>
      <w:r>
        <w:t>Intime-se, pessoalmente o autor do fato, advertindo-o de que o descumprimento das medidas ora impostas</w:t>
      </w:r>
    </w:p>
    <w:p w:rsidR="00AE0ACF" w:rsidRDefault="004930F1">
      <w:pPr>
        <w:ind w:left="323" w:right="4"/>
      </w:pPr>
      <w:r>
        <w:t>sujeitará o mesmo a prisão nos termos do art. 313, III do CPC.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after="99"/>
        <w:ind w:left="1310" w:right="4"/>
      </w:pPr>
      <w:r>
        <w:t>Intime-se a vítima para que compareça a Vara de Violência Doméstica para onde for distribuído o processo</w:t>
      </w:r>
    </w:p>
    <w:p w:rsidR="00AE0ACF" w:rsidRDefault="004930F1">
      <w:pPr>
        <w:ind w:left="323" w:right="4"/>
      </w:pPr>
      <w:r>
        <w:t>a fim de ser orientada pela Defensoria Pública.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ind w:left="1310" w:right="4"/>
      </w:pPr>
      <w:r>
        <w:t>Ciência ao Ministério Público e a Defensoria Pública.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10"/>
      </w:pPr>
      <w:r>
        <w:rPr>
          <w:b/>
        </w:rPr>
        <w:t>Intime-se e cumpra-se, servindo esta decisão de mandado/ofício/alvará de soltura.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15" w:firstLine="0"/>
        <w:jc w:val="left"/>
      </w:pPr>
      <w:r>
        <w:t xml:space="preserve"> 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ind w:left="1310" w:right="4"/>
      </w:pPr>
      <w:r>
        <w:t>Salvador, 16 de setembro de 2023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15" w:firstLine="0"/>
        <w:jc w:val="left"/>
      </w:pPr>
      <w:r>
        <w:t xml:space="preserve"> 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10"/>
      </w:pPr>
      <w:r>
        <w:rPr>
          <w:b/>
        </w:rPr>
        <w:t>João Batista Perez Garcia Moreno Neto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10"/>
      </w:pPr>
      <w:r>
        <w:rPr>
          <w:b/>
        </w:rPr>
        <w:t>Juiz de Direito Plantonista</w:t>
      </w:r>
    </w:p>
    <w:p w:rsidR="00AE0ACF" w:rsidRDefault="004930F1">
      <w:pPr>
        <w:spacing w:after="54" w:line="259" w:lineRule="auto"/>
        <w:ind w:left="313" w:firstLine="0"/>
        <w:jc w:val="left"/>
      </w:pPr>
      <w:r>
        <w:rPr>
          <w:sz w:val="21"/>
        </w:rPr>
        <w:t xml:space="preserve"> </w:t>
      </w:r>
    </w:p>
    <w:p w:rsidR="00AE0ACF" w:rsidRDefault="004930F1">
      <w:pPr>
        <w:spacing w:line="259" w:lineRule="auto"/>
        <w:ind w:left="1315" w:firstLine="0"/>
        <w:jc w:val="left"/>
      </w:pPr>
      <w:r>
        <w:t xml:space="preserve"> </w:t>
      </w:r>
    </w:p>
    <w:p w:rsidR="00AE0ACF" w:rsidRDefault="004930F1">
      <w:pPr>
        <w:spacing w:line="259" w:lineRule="auto"/>
        <w:ind w:left="313" w:firstLine="0"/>
        <w:jc w:val="left"/>
      </w:pPr>
      <w:r>
        <w:rPr>
          <w:sz w:val="21"/>
        </w:rPr>
        <w:t xml:space="preserve"> </w:t>
      </w:r>
    </w:p>
    <w:sectPr w:rsidR="00AE0ACF">
      <w:footerReference w:type="even" r:id="rId8"/>
      <w:footerReference w:type="default" r:id="rId9"/>
      <w:footerReference w:type="first" r:id="rId10"/>
      <w:pgSz w:w="11900" w:h="16840"/>
      <w:pgMar w:top="548" w:right="1655" w:bottom="183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30F1" w:rsidRDefault="004930F1">
      <w:pPr>
        <w:spacing w:line="240" w:lineRule="auto"/>
      </w:pPr>
      <w:r>
        <w:separator/>
      </w:r>
    </w:p>
  </w:endnote>
  <w:endnote w:type="continuationSeparator" w:id="0">
    <w:p w:rsidR="004930F1" w:rsidRDefault="00493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ACF" w:rsidRDefault="004930F1">
    <w:pPr>
      <w:spacing w:line="331" w:lineRule="auto"/>
      <w:ind w:left="480" w:right="-1586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9779000</wp:posOffset>
          </wp:positionV>
          <wp:extent cx="914400" cy="917448"/>
          <wp:effectExtent l="0" t="0" r="0" b="0"/>
          <wp:wrapSquare wrapText="bothSides"/>
          <wp:docPr id="2322" name="Picture 23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2" name="Picture 23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7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>Assinado eletronicamente por: JOAO BATISTA PEREZ GARCIA MORENO NETO - 16/09/2023 12:53:19</w:t>
    </w:r>
    <w:r>
      <w:rPr>
        <w:sz w:val="14"/>
      </w:rPr>
      <w:tab/>
    </w:r>
    <w:r>
      <w:rPr>
        <w:sz w:val="18"/>
      </w:rPr>
      <w:t xml:space="preserve">Num. 410326280 - 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4"/>
      </w:rPr>
      <w:t>https://pje.tjba.jus.br/pje/Processo/ConsultaDocumento/listView.seam?x=23091612531823500000398066521</w:t>
    </w:r>
  </w:p>
  <w:p w:rsidR="00AE0ACF" w:rsidRDefault="004930F1">
    <w:pPr>
      <w:spacing w:line="259" w:lineRule="auto"/>
      <w:ind w:left="480" w:firstLine="0"/>
      <w:jc w:val="left"/>
    </w:pPr>
    <w:r>
      <w:rPr>
        <w:sz w:val="14"/>
      </w:rPr>
      <w:t>Número do documento: 23091612531823500000398066521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ACF" w:rsidRDefault="004930F1">
    <w:pPr>
      <w:spacing w:line="331" w:lineRule="auto"/>
      <w:ind w:left="480" w:right="-1586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9779000</wp:posOffset>
          </wp:positionV>
          <wp:extent cx="914400" cy="917448"/>
          <wp:effectExtent l="0" t="0" r="0" b="0"/>
          <wp:wrapSquare wrapText="bothSides"/>
          <wp:docPr id="1" name="Picture 23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2" name="Picture 23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7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>Assinado eletronicamente por: JOAO BATISTA PEREZ GARCIA MORENO NETO - 16/09/2023 12:53:19</w:t>
    </w:r>
    <w:r>
      <w:rPr>
        <w:sz w:val="14"/>
      </w:rPr>
      <w:tab/>
    </w:r>
    <w:r>
      <w:rPr>
        <w:sz w:val="18"/>
      </w:rPr>
      <w:t xml:space="preserve">Num. 410326280 - 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4"/>
      </w:rPr>
      <w:t>https://pje.tjba.jus.br/pje/Processo/ConsultaDocumento/listView.seam?x=23091612531823500000398066521</w:t>
    </w:r>
  </w:p>
  <w:p w:rsidR="00AE0ACF" w:rsidRDefault="004930F1">
    <w:pPr>
      <w:spacing w:line="259" w:lineRule="auto"/>
      <w:ind w:left="480" w:firstLine="0"/>
      <w:jc w:val="left"/>
    </w:pPr>
    <w:r>
      <w:rPr>
        <w:sz w:val="14"/>
      </w:rPr>
      <w:t>Número do documento: 23091612531823500000398066521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ACF" w:rsidRDefault="004930F1">
    <w:pPr>
      <w:spacing w:line="331" w:lineRule="auto"/>
      <w:ind w:left="480" w:right="-1586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9779000</wp:posOffset>
          </wp:positionV>
          <wp:extent cx="914400" cy="917448"/>
          <wp:effectExtent l="0" t="0" r="0" b="0"/>
          <wp:wrapSquare wrapText="bothSides"/>
          <wp:docPr id="2" name="Picture 23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2" name="Picture 23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7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>Assinado eletronicamente por: JOAO BATISTA PEREZ GARCIA MORENO NETO - 16/09/2023 12:53:19</w:t>
    </w:r>
    <w:r>
      <w:rPr>
        <w:sz w:val="14"/>
      </w:rPr>
      <w:tab/>
    </w:r>
    <w:r>
      <w:rPr>
        <w:sz w:val="18"/>
      </w:rPr>
      <w:t xml:space="preserve">Num. 410326280 - 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4"/>
      </w:rPr>
      <w:t>https://pje.tjba.jus.br/pje/Processo/ConsultaDocumento/listView.seam?x=23091612531823500000398066521</w:t>
    </w:r>
  </w:p>
  <w:p w:rsidR="00AE0ACF" w:rsidRDefault="004930F1">
    <w:pPr>
      <w:spacing w:line="259" w:lineRule="auto"/>
      <w:ind w:left="480" w:firstLine="0"/>
      <w:jc w:val="left"/>
    </w:pPr>
    <w:r>
      <w:rPr>
        <w:sz w:val="14"/>
      </w:rPr>
      <w:t>Número do documento: 23091612531823500000398066521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30F1" w:rsidRDefault="004930F1">
      <w:pPr>
        <w:spacing w:line="240" w:lineRule="auto"/>
      </w:pPr>
      <w:r>
        <w:separator/>
      </w:r>
    </w:p>
  </w:footnote>
  <w:footnote w:type="continuationSeparator" w:id="0">
    <w:p w:rsidR="004930F1" w:rsidRDefault="004930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05943"/>
    <w:multiLevelType w:val="hybridMultilevel"/>
    <w:tmpl w:val="FFFFFFFF"/>
    <w:lvl w:ilvl="0" w:tplc="452E777E">
      <w:start w:val="1"/>
      <w:numFmt w:val="decimal"/>
      <w:lvlText w:val="%1-"/>
      <w:lvlJc w:val="left"/>
      <w:pPr>
        <w:ind w:left="80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18A3D34">
      <w:start w:val="3"/>
      <w:numFmt w:val="decimal"/>
      <w:lvlText w:val="%2"/>
      <w:lvlJc w:val="left"/>
      <w:pPr>
        <w:ind w:left="10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9C88008">
      <w:start w:val="1"/>
      <w:numFmt w:val="lowerRoman"/>
      <w:lvlText w:val="%3"/>
      <w:lvlJc w:val="left"/>
      <w:pPr>
        <w:ind w:left="172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4D4E42A">
      <w:start w:val="1"/>
      <w:numFmt w:val="decimal"/>
      <w:lvlText w:val="%4"/>
      <w:lvlJc w:val="left"/>
      <w:pPr>
        <w:ind w:left="244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F2C4E16">
      <w:start w:val="1"/>
      <w:numFmt w:val="lowerLetter"/>
      <w:lvlText w:val="%5"/>
      <w:lvlJc w:val="left"/>
      <w:pPr>
        <w:ind w:left="316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4563E72">
      <w:start w:val="1"/>
      <w:numFmt w:val="lowerRoman"/>
      <w:lvlText w:val="%6"/>
      <w:lvlJc w:val="left"/>
      <w:pPr>
        <w:ind w:left="388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D722710">
      <w:start w:val="1"/>
      <w:numFmt w:val="decimal"/>
      <w:lvlText w:val="%7"/>
      <w:lvlJc w:val="left"/>
      <w:pPr>
        <w:ind w:left="460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E7E24BE">
      <w:start w:val="1"/>
      <w:numFmt w:val="lowerLetter"/>
      <w:lvlText w:val="%8"/>
      <w:lvlJc w:val="left"/>
      <w:pPr>
        <w:ind w:left="532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9169698">
      <w:start w:val="1"/>
      <w:numFmt w:val="lowerRoman"/>
      <w:lvlText w:val="%9"/>
      <w:lvlJc w:val="left"/>
      <w:pPr>
        <w:ind w:left="604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877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CF"/>
    <w:rsid w:val="004930F1"/>
    <w:rsid w:val="00A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F83BE3F-BB2B-DF46-8890-72E7195B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362" w:hanging="10"/>
      <w:jc w:val="both"/>
    </w:pPr>
    <w:rPr>
      <w:rFonts w:ascii="Arial" w:eastAsia="Arial" w:hAnsi="Arial" w:cs="Arial"/>
      <w:color w:val="000000"/>
      <w:sz w:val="17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pBdr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</w:pBdr>
      <w:shd w:val="clear" w:color="auto" w:fill="C0C0C0"/>
      <w:spacing w:after="40"/>
      <w:ind w:right="559"/>
      <w:jc w:val="center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884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Fábio Roberto</cp:lastModifiedBy>
  <cp:revision>2</cp:revision>
  <dcterms:created xsi:type="dcterms:W3CDTF">2023-09-17T00:49:00Z</dcterms:created>
  <dcterms:modified xsi:type="dcterms:W3CDTF">2023-09-17T00:49:00Z</dcterms:modified>
</cp:coreProperties>
</file>